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stand dynamics as cohorts and stands age, which remain challenging to disentangle from global change drivers.</w:t>
      </w:r>
      <w:r>
        <w:t xml:space="preserve"> </w:t>
      </w:r>
      <w:r>
        <w:t xml:space="preserve">As a rigorous analytical framework for statistically modeling tree growth responses to the primary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w:t>
      </w:r>
      <m:oMath>
        <m:r>
          <m:t>D</m:t>
        </m:r>
        <m:r>
          <m:t>B</m:t>
        </m:r>
        <m:r>
          <m:t>H</m:t>
        </m:r>
      </m:oMath>
      <w:r>
        <w:t xml:space="preserve">) scales predictably with numerous variables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tails of the</w:t>
      </w:r>
      <w:r>
        <w:t xml:space="preserve"> </w:t>
      </w:r>
      <m:oMath>
        <m:r>
          <m:t>D</m:t>
        </m:r>
        <m:r>
          <m:t>B</m:t>
        </m:r>
        <m:r>
          <m:t>H</m:t>
        </m:r>
      </m:oMath>
      <w:r>
        <w:t xml:space="preserve"> </w:t>
      </w:r>
      <w:r>
        <w:t xml:space="preserve">distribution,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w:t>
      </w:r>
      <m:oMath>
        <m:r>
          <m:t>A</m:t>
        </m:r>
        <m:r>
          <m:t>G</m:t>
        </m:r>
        <m:r>
          <m:t>B</m:t>
        </m:r>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w:t>
      </w:r>
      <w:r>
        <w:t xml:space="preserve"> </w:t>
      </w:r>
      <m:oMath>
        <m:r>
          <m:t>D</m:t>
        </m:r>
        <m:r>
          <m:t>B</m:t>
        </m:r>
        <m:r>
          <m:t>H</m:t>
        </m:r>
      </m:oMath>
      <w:r>
        <w:t xml:space="preserve">,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w:t>
      </w:r>
      <w:r>
        <w:t xml:space="preserve"> </w:t>
      </w:r>
      <m:oMath>
        <m:r>
          <m:t>y</m:t>
        </m:r>
        <m:r>
          <m:t>e</m:t>
        </m:r>
        <m:r>
          <m:t>a</m:t>
        </m:r>
        <m:r>
          <m:t>r</m:t>
        </m:r>
      </m:oMath>
      <w:r>
        <w:t xml:space="preserve"> </w:t>
      </w:r>
      <w:r>
        <w:t xml:space="preserve">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the</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w:t>
      </w:r>
      <w:r>
        <w:rPr>
          <w:iCs/>
          <w:i/>
        </w:rPr>
        <w:t xml:space="preserve"> </w:t>
      </w:r>
      <m:oMath>
        <m:r>
          <m:t>D</m:t>
        </m:r>
        <m:r>
          <m:t>B</m:t>
        </m:r>
        <m:r>
          <m:t>H</m:t>
        </m:r>
      </m:oMath>
      <w:r>
        <w:rPr>
          <w:iCs/>
          <w:i/>
        </w:rPr>
        <w:t xml:space="preserve">-growth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10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w:t>
      </w:r>
      <w:r>
        <w:t xml:space="preserve"> </w:t>
      </w:r>
      <m:oMath>
        <m:r>
          <m:t>D</m:t>
        </m:r>
        <m:r>
          <m:t>B</m:t>
        </m:r>
        <m:r>
          <m:t>H</m:t>
        </m:r>
      </m:oMath>
      <w:r>
        <w:t xml:space="preserve"> </w:t>
      </w:r>
      <w:r>
        <w:t xml:space="preserve">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5).</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5).</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the declines in Figure 5 are more properly attributed to the effect of year than</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5).</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4, respectively),</w:t>
      </w:r>
      <w:r>
        <w:t xml:space="preserve"> </w:t>
      </w:r>
      <w:r>
        <w:t xml:space="preserve">that growth – measured by any metric – almost universally varies with</w:t>
      </w:r>
      <w:r>
        <w:t xml:space="preserve"> </w:t>
      </w:r>
      <m:oMath>
        <m:r>
          <m:t>D</m:t>
        </m:r>
        <m:r>
          <m:t>B</m:t>
        </m:r>
        <m:r>
          <m:t>H</m:t>
        </m:r>
      </m:oMath>
      <w:r>
        <w:t xml:space="preserve"> </w:t>
      </w:r>
      <w:r>
        <w:t xml:space="preserve">(Fig.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88" w:name="References"/>
    <w:p>
      <w:pPr>
        <w:pStyle w:val="Heading1"/>
      </w:pPr>
      <w:r>
        <w:t xml:space="preserve">References</w:t>
      </w:r>
    </w:p>
    <w:bookmarkStart w:id="28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7">
        <w:r>
          <w:rPr>
            <w:rStyle w:val="Hyperlink"/>
          </w:rPr>
          <w:t xml:space="preserve">https://doi.org/10.1016/j.agrformet.2017.08.007</w:t>
        </w:r>
      </w:hyperlink>
    </w:p>
    <w:bookmarkEnd w:id="248"/>
    <w:bookmarkStart w:id="25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9">
        <w:r>
          <w:rPr>
            <w:rStyle w:val="Hyperlink"/>
          </w:rPr>
          <w:t xml:space="preserve">https://doi.org/10.1111/gcb.14120</w:t>
        </w:r>
      </w:hyperlink>
    </w:p>
    <w:bookmarkEnd w:id="250"/>
    <w:bookmarkStart w:id="252"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1">
        <w:r>
          <w:rPr>
            <w:rStyle w:val="Hyperlink"/>
          </w:rPr>
          <w:t xml:space="preserve">https://doi.org/10.1007/978-94-007-1242-3_2</w:t>
        </w:r>
      </w:hyperlink>
    </w:p>
    <w:bookmarkEnd w:id="252"/>
    <w:bookmarkStart w:id="2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3">
        <w:r>
          <w:rPr>
            <w:rStyle w:val="Hyperlink"/>
          </w:rPr>
          <w:t xml:space="preserve">https://doi.org/10.5194/cp-9-1481-2013</w:t>
        </w:r>
      </w:hyperlink>
    </w:p>
    <w:bookmarkEnd w:id="254"/>
    <w:bookmarkStart w:id="25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5">
        <w:r>
          <w:rPr>
            <w:rStyle w:val="Hyperlink"/>
          </w:rPr>
          <w:t xml:space="preserve">https://doi.org/10.1002/joc.2117</w:t>
        </w:r>
      </w:hyperlink>
    </w:p>
    <w:bookmarkEnd w:id="256"/>
    <w:bookmarkStart w:id="25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7">
        <w:r>
          <w:rPr>
            <w:rStyle w:val="Hyperlink"/>
          </w:rPr>
          <w:t xml:space="preserve">https://doi.org/10.1007/s00468-018-1767-z</w:t>
        </w:r>
      </w:hyperlink>
    </w:p>
    <w:bookmarkEnd w:id="258"/>
    <w:bookmarkStart w:id="26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9">
        <w:r>
          <w:rPr>
            <w:rStyle w:val="Hyperlink"/>
          </w:rPr>
          <w:t xml:space="preserve">https://doi.org/10.1016/j.agrformet.2017.07.015</w:t>
        </w:r>
      </w:hyperlink>
    </w:p>
    <w:bookmarkEnd w:id="260"/>
    <w:bookmarkStart w:id="262"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1">
        <w:r>
          <w:rPr>
            <w:rStyle w:val="Hyperlink"/>
          </w:rPr>
          <w:t xml:space="preserve">https://doi.org/10.1111/2041-210X.12590</w:t>
        </w:r>
      </w:hyperlink>
    </w:p>
    <w:bookmarkEnd w:id="262"/>
    <w:bookmarkStart w:id="264"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3">
        <w:r>
          <w:rPr>
            <w:rStyle w:val="Hyperlink"/>
          </w:rPr>
          <w:t xml:space="preserve">https://doi.org/10.1038/ngeo2313</w:t>
        </w:r>
      </w:hyperlink>
    </w:p>
    <w:bookmarkEnd w:id="264"/>
    <w:bookmarkStart w:id="26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5">
        <w:r>
          <w:rPr>
            <w:rStyle w:val="Hyperlink"/>
          </w:rPr>
          <w:t xml:space="preserve">https://doi.org/10.1007/s00442-013-2846-x</w:t>
        </w:r>
      </w:hyperlink>
    </w:p>
    <w:bookmarkEnd w:id="266"/>
    <w:bookmarkStart w:id="26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7">
        <w:r>
          <w:rPr>
            <w:rStyle w:val="Hyperlink"/>
          </w:rPr>
          <w:t xml:space="preserve">https://doi.org/10.1890/0012-9615(2006)076[0549:HCGEDW]2.0.CO;2</w:t>
        </w:r>
      </w:hyperlink>
    </w:p>
    <w:bookmarkEnd w:id="268"/>
    <w:bookmarkStart w:id="27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9">
        <w:r>
          <w:rPr>
            <w:rStyle w:val="Hyperlink"/>
          </w:rPr>
          <w:t xml:space="preserve">https://doi.org/10.1016/j.foreco.2009.03.007</w:t>
        </w:r>
      </w:hyperlink>
    </w:p>
    <w:bookmarkEnd w:id="270"/>
    <w:bookmarkStart w:id="27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1">
        <w:r>
          <w:rPr>
            <w:rStyle w:val="Hyperlink"/>
          </w:rPr>
          <w:t xml:space="preserve">https://doi.org/10.1111/nph.16866</w:t>
        </w:r>
      </w:hyperlink>
    </w:p>
    <w:bookmarkEnd w:id="272"/>
    <w:bookmarkStart w:id="27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3">
        <w:r>
          <w:rPr>
            <w:rStyle w:val="Hyperlink"/>
          </w:rPr>
          <w:t xml:space="preserve">https://doi.org/10.1038/nclimate1693</w:t>
        </w:r>
      </w:hyperlink>
    </w:p>
    <w:bookmarkEnd w:id="274"/>
    <w:bookmarkStart w:id="27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5">
        <w:r>
          <w:rPr>
            <w:rStyle w:val="Hyperlink"/>
          </w:rPr>
          <w:t xml:space="preserve">https://doi.org/10.1111/gcb.15057</w:t>
        </w:r>
      </w:hyperlink>
    </w:p>
    <w:bookmarkEnd w:id="276"/>
    <w:bookmarkStart w:id="27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7">
        <w:r>
          <w:rPr>
            <w:rStyle w:val="Hyperlink"/>
          </w:rPr>
          <w:t xml:space="preserve">https://doi.org/10.1111/j.1467-9868.2010.00749.x</w:t>
        </w:r>
      </w:hyperlink>
    </w:p>
    <w:bookmarkEnd w:id="278"/>
    <w:bookmarkStart w:id="28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9">
        <w:r>
          <w:rPr>
            <w:rStyle w:val="Hyperlink"/>
          </w:rPr>
          <w:t xml:space="preserve">https://doi.org/10.1191/095968399667128516</w:t>
        </w:r>
      </w:hyperlink>
    </w:p>
    <w:bookmarkEnd w:id="280"/>
    <w:bookmarkStart w:id="28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1">
        <w:r>
          <w:rPr>
            <w:rStyle w:val="Hyperlink"/>
          </w:rPr>
          <w:t xml:space="preserve">https://doi.org/10.1016/j.dendro.2012.08.001</w:t>
        </w:r>
      </w:hyperlink>
    </w:p>
    <w:bookmarkEnd w:id="282"/>
    <w:bookmarkStart w:id="28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3">
        <w:r>
          <w:rPr>
            <w:rStyle w:val="Hyperlink"/>
          </w:rPr>
          <w:t xml:space="preserve">https://doi.org/10.1111/ecog.01335</w:t>
        </w:r>
      </w:hyperlink>
    </w:p>
    <w:bookmarkEnd w:id="284"/>
    <w:bookmarkStart w:id="28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5">
        <w:r>
          <w:rPr>
            <w:rStyle w:val="Hyperlink"/>
          </w:rPr>
          <w:t xml:space="preserve">https://doi.org/10.1111/gcb.15092</w:t>
        </w:r>
      </w:hyperlink>
    </w:p>
    <w:bookmarkEnd w:id="286"/>
    <w:bookmarkEnd w:id="287"/>
    <w:bookmarkEnd w:id="288"/>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2021-03-14T19:55:43Z</dcterms:created>
  <dcterms:modified xsi:type="dcterms:W3CDTF">2021-03-14T19:55:43Z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